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0F" w:rsidRPr="003B4227" w:rsidRDefault="00B32B0F" w:rsidP="00B32B0F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2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ВЕРХ-КАТАВСКОГО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B32B0F" w:rsidRPr="001337F5" w:rsidRDefault="00B32B0F" w:rsidP="00B32B0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B32B0F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B32B0F" w:rsidRPr="001337F5" w:rsidRDefault="00B32B0F" w:rsidP="00B32B0F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32B0F" w:rsidRPr="007D4761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B32B0F" w:rsidRPr="001337F5" w:rsidRDefault="00B32B0F" w:rsidP="00B32B0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2021 и 2022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B0F" w:rsidRPr="0032746E" w:rsidRDefault="00B32B0F" w:rsidP="00B32B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6F51B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="006F51B9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6F51B9">
        <w:rPr>
          <w:rFonts w:ascii="Times New Roman" w:hAnsi="Times New Roman" w:cs="Times New Roman"/>
          <w:sz w:val="28"/>
          <w:szCs w:val="28"/>
        </w:rPr>
        <w:t>№</w:t>
      </w:r>
      <w:r w:rsidR="006F51B9" w:rsidRPr="006F51B9">
        <w:rPr>
          <w:rFonts w:ascii="Times New Roman" w:hAnsi="Times New Roman" w:cs="Times New Roman"/>
          <w:sz w:val="28"/>
          <w:szCs w:val="28"/>
        </w:rPr>
        <w:t xml:space="preserve"> 113</w:t>
      </w:r>
    </w:p>
    <w:p w:rsidR="00B32B0F" w:rsidRPr="001337F5" w:rsidRDefault="00B32B0F" w:rsidP="00B32B0F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Верх-Катавском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proofErr w:type="spellStart"/>
      <w:r w:rsidRPr="00B32B0F">
        <w:rPr>
          <w:rFonts w:ascii="Times New Roman" w:hAnsi="Times New Roman" w:cs="Times New Roman"/>
          <w:b/>
          <w:sz w:val="32"/>
          <w:szCs w:val="32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2020 год и на плановый период 2021 и 2022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EBE">
        <w:rPr>
          <w:rFonts w:ascii="Times New Roman" w:eastAsia="Calibri" w:hAnsi="Times New Roman" w:cs="Times New Roman"/>
          <w:sz w:val="28"/>
          <w:szCs w:val="28"/>
        </w:rPr>
        <w:t>2527,1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EBE">
        <w:rPr>
          <w:rFonts w:ascii="Times New Roman" w:eastAsia="Calibri" w:hAnsi="Times New Roman" w:cs="Times New Roman"/>
          <w:sz w:val="28"/>
          <w:szCs w:val="28"/>
        </w:rPr>
        <w:t>2465,3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D1279">
        <w:rPr>
          <w:rFonts w:ascii="Times New Roman" w:eastAsia="Calibri" w:hAnsi="Times New Roman" w:cs="Times New Roman"/>
          <w:sz w:val="28"/>
          <w:szCs w:val="28"/>
        </w:rPr>
        <w:t>527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40A4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32B0F" w:rsidRPr="00C111FC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EBE">
        <w:rPr>
          <w:rFonts w:ascii="Times New Roman" w:eastAsia="Calibri" w:hAnsi="Times New Roman" w:cs="Times New Roman"/>
          <w:sz w:val="28"/>
          <w:szCs w:val="28"/>
        </w:rPr>
        <w:t>2539,8</w:t>
      </w:r>
      <w:r w:rsidR="007A7C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142EBE">
        <w:rPr>
          <w:rFonts w:ascii="Times New Roman" w:eastAsia="Calibri" w:hAnsi="Times New Roman" w:cs="Times New Roman"/>
          <w:sz w:val="28"/>
          <w:szCs w:val="28"/>
        </w:rPr>
        <w:t xml:space="preserve"> 2476,1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EBE">
        <w:rPr>
          <w:rFonts w:ascii="Times New Roman" w:eastAsia="Calibri" w:hAnsi="Times New Roman" w:cs="Times New Roman"/>
          <w:sz w:val="28"/>
          <w:szCs w:val="28"/>
        </w:rPr>
        <w:t>2644,7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</w:t>
      </w: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том числе безвозмездные поступления от других бюджетов бюджетной системы Российской Федерации </w:t>
      </w:r>
      <w:r w:rsidRPr="007A7C99">
        <w:rPr>
          <w:rFonts w:ascii="Times New Roman" w:eastAsia="Calibri" w:hAnsi="Times New Roman" w:cs="Times New Roman"/>
          <w:sz w:val="28"/>
          <w:szCs w:val="28"/>
        </w:rPr>
        <w:t>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2EBE">
        <w:rPr>
          <w:rFonts w:ascii="Times New Roman" w:eastAsia="Calibri" w:hAnsi="Times New Roman" w:cs="Times New Roman"/>
          <w:sz w:val="28"/>
          <w:szCs w:val="28"/>
        </w:rPr>
        <w:t>2580,3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тыс.рублей;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D1279">
        <w:rPr>
          <w:rFonts w:ascii="Times New Roman" w:eastAsia="Calibri" w:hAnsi="Times New Roman" w:cs="Times New Roman"/>
          <w:sz w:val="28"/>
          <w:szCs w:val="28"/>
        </w:rPr>
        <w:t>2539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40A4C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54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3D1279">
        <w:rPr>
          <w:rFonts w:ascii="Times New Roman" w:eastAsia="Calibri" w:hAnsi="Times New Roman" w:cs="Times New Roman"/>
          <w:sz w:val="28"/>
          <w:szCs w:val="28"/>
        </w:rPr>
        <w:t>644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40A4C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665708">
        <w:rPr>
          <w:rFonts w:ascii="Times New Roman" w:eastAsia="Calibri" w:hAnsi="Times New Roman" w:cs="Times New Roman"/>
          <w:sz w:val="28"/>
          <w:szCs w:val="28"/>
        </w:rPr>
        <w:t>107</w:t>
      </w:r>
      <w:r>
        <w:rPr>
          <w:rFonts w:ascii="Times New Roman" w:eastAsia="Calibri" w:hAnsi="Times New Roman" w:cs="Times New Roman"/>
          <w:sz w:val="28"/>
          <w:szCs w:val="28"/>
        </w:rPr>
        <w:t>,0 тыс.</w:t>
      </w:r>
      <w:r w:rsidR="00FA49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B32B0F" w:rsidRPr="00951EB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B0F" w:rsidRPr="000504A2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B32B0F" w:rsidRPr="000504A2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B32B0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2021 и 2022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B32B0F" w:rsidRPr="001337F5" w:rsidRDefault="00B32B0F" w:rsidP="00B32B0F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32B0F" w:rsidRPr="001337F5" w:rsidRDefault="00B32B0F" w:rsidP="00B32B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B32B0F" w:rsidRPr="00F33A59" w:rsidRDefault="00B32B0F" w:rsidP="00B32B0F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32B0F" w:rsidRPr="00F33A59" w:rsidRDefault="00B32B0F" w:rsidP="00B32B0F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B32B0F" w:rsidRPr="00F33A59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2020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B32B0F" w:rsidRPr="007A7176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</w:t>
      </w:r>
      <w:r w:rsidR="00B32B02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B32B0F" w:rsidRPr="00E805C0" w:rsidRDefault="00B32B0F" w:rsidP="00B32B0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по иным направлениям расходов, не указанных в пунктах 1-5 настоящей части.</w:t>
      </w:r>
    </w:p>
    <w:p w:rsidR="00B32B0F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B32B0F" w:rsidRPr="00976F0B" w:rsidRDefault="00B32B0F" w:rsidP="00B32B0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B32B0F" w:rsidRPr="007A7176" w:rsidRDefault="00B32B0F" w:rsidP="00B32B0F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B32B0F" w:rsidRDefault="00B32B0F" w:rsidP="00B32B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F33A59" w:rsidRDefault="00B32B0F" w:rsidP="00B32B0F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B32B0F" w:rsidRPr="00E92113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A7C99" w:rsidRPr="007A7C99">
        <w:rPr>
          <w:rFonts w:ascii="Times New Roman" w:hAnsi="Times New Roman" w:cs="Times New Roman"/>
          <w:sz w:val="28"/>
          <w:szCs w:val="28"/>
        </w:rPr>
        <w:t>6,0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Pr="007A7C99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7A7C99" w:rsidRPr="007A7C99">
        <w:rPr>
          <w:rFonts w:ascii="Times New Roman" w:hAnsi="Times New Roman" w:cs="Times New Roman"/>
          <w:sz w:val="28"/>
          <w:szCs w:val="28"/>
        </w:rPr>
        <w:t>6,0</w:t>
      </w:r>
      <w:r w:rsidRPr="007A7C99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7A7C9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7A7C9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A7C99">
        <w:rPr>
          <w:rFonts w:ascii="Times New Roman" w:hAnsi="Times New Roman" w:cs="Times New Roman"/>
          <w:sz w:val="28"/>
          <w:szCs w:val="28"/>
        </w:rPr>
        <w:t>на 1 января 2023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7A7C99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32B0F" w:rsidRPr="00E92113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6049B">
        <w:rPr>
          <w:rFonts w:ascii="Times New Roman" w:hAnsi="Times New Roman" w:cs="Times New Roman"/>
          <w:sz w:val="28"/>
          <w:szCs w:val="28"/>
        </w:rPr>
        <w:t>316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316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65708">
        <w:rPr>
          <w:rFonts w:ascii="Times New Roman" w:hAnsi="Times New Roman" w:cs="Times New Roman"/>
          <w:sz w:val="28"/>
          <w:szCs w:val="28"/>
        </w:rPr>
        <w:t>316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7A7C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A7C99" w:rsidRPr="007A7C99">
        <w:rPr>
          <w:rFonts w:ascii="Times New Roman" w:hAnsi="Times New Roman" w:cs="Times New Roman"/>
          <w:sz w:val="28"/>
          <w:szCs w:val="28"/>
        </w:rPr>
        <w:t>61,0</w:t>
      </w:r>
      <w:r w:rsidR="003B6626" w:rsidRPr="007A7C99">
        <w:rPr>
          <w:rFonts w:ascii="Times New Roman" w:hAnsi="Times New Roman" w:cs="Times New Roman"/>
          <w:sz w:val="28"/>
          <w:szCs w:val="28"/>
        </w:rPr>
        <w:t xml:space="preserve"> </w:t>
      </w:r>
      <w:r w:rsidRPr="007A7C99">
        <w:rPr>
          <w:rFonts w:ascii="Times New Roman" w:hAnsi="Times New Roman" w:cs="Times New Roman"/>
          <w:sz w:val="28"/>
          <w:szCs w:val="28"/>
        </w:rPr>
        <w:t xml:space="preserve">тыс. рублей, на 2021 год в сумме </w:t>
      </w:r>
      <w:r w:rsidR="007A7C99" w:rsidRPr="007A7C99">
        <w:rPr>
          <w:rFonts w:ascii="Times New Roman" w:hAnsi="Times New Roman" w:cs="Times New Roman"/>
          <w:sz w:val="28"/>
          <w:szCs w:val="28"/>
        </w:rPr>
        <w:t>63,0</w:t>
      </w:r>
      <w:r w:rsidR="003B6626" w:rsidRPr="007A7C99">
        <w:rPr>
          <w:rFonts w:ascii="Times New Roman" w:hAnsi="Times New Roman" w:cs="Times New Roman"/>
          <w:sz w:val="28"/>
          <w:szCs w:val="28"/>
        </w:rPr>
        <w:t xml:space="preserve"> </w:t>
      </w:r>
      <w:r w:rsidRPr="007A7C99">
        <w:rPr>
          <w:rFonts w:ascii="Times New Roman" w:hAnsi="Times New Roman" w:cs="Times New Roman"/>
          <w:sz w:val="28"/>
          <w:szCs w:val="28"/>
        </w:rPr>
        <w:t>тыс. рублей и на 2022 год в сумме</w:t>
      </w:r>
      <w:r w:rsidR="007A7C99" w:rsidRPr="007A7C99">
        <w:rPr>
          <w:rFonts w:ascii="Times New Roman" w:hAnsi="Times New Roman" w:cs="Times New Roman"/>
          <w:sz w:val="28"/>
          <w:szCs w:val="28"/>
        </w:rPr>
        <w:t xml:space="preserve"> 64,0</w:t>
      </w:r>
      <w:r w:rsidR="003B6626" w:rsidRPr="007A7C99">
        <w:rPr>
          <w:rFonts w:ascii="Times New Roman" w:hAnsi="Times New Roman" w:cs="Times New Roman"/>
          <w:sz w:val="28"/>
          <w:szCs w:val="28"/>
        </w:rPr>
        <w:t xml:space="preserve"> </w:t>
      </w:r>
      <w:r w:rsidRPr="007A7C99">
        <w:rPr>
          <w:rFonts w:ascii="Times New Roman" w:hAnsi="Times New Roman" w:cs="Times New Roman"/>
          <w:sz w:val="28"/>
          <w:szCs w:val="28"/>
        </w:rPr>
        <w:t>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2020 год в сумме 0,00 тыс. рублей, на 2021 год в сумме 0,00 тыс. рублей и на 2022 год в сумме 0,00 тыс. рублей.</w:t>
      </w:r>
    </w:p>
    <w:p w:rsidR="00B32B0F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B0F" w:rsidRPr="001337F5" w:rsidRDefault="00B32B0F" w:rsidP="00B32B0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B32B0F" w:rsidRPr="001337F5" w:rsidRDefault="00B32B0F" w:rsidP="00B32B0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9</w:t>
      </w:r>
      <w:r w:rsidRPr="00E502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="00E5023D" w:rsidRPr="00E5023D">
        <w:rPr>
          <w:rFonts w:ascii="Times New Roman" w:hAnsi="Times New Roman" w:cs="Times New Roman"/>
          <w:sz w:val="28"/>
          <w:szCs w:val="28"/>
        </w:rPr>
        <w:t xml:space="preserve"> 10</w:t>
      </w:r>
      <w:r w:rsidRPr="00E5023D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32B0F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396DA5" w:rsidRDefault="00B32B0F" w:rsidP="00B32B0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E5023D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hAnsi="Times New Roman" w:cs="Times New Roman"/>
          <w:sz w:val="28"/>
          <w:szCs w:val="28"/>
        </w:rPr>
        <w:t>11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B32B0F" w:rsidRPr="001337F5" w:rsidRDefault="00B32B0F" w:rsidP="00B32B0F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B0F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Pr="00B32B0F">
        <w:rPr>
          <w:rFonts w:ascii="Times New Roman" w:hAnsi="Times New Roman" w:cs="Times New Roman"/>
          <w:b/>
          <w:sz w:val="28"/>
          <w:szCs w:val="28"/>
        </w:rPr>
        <w:t>Верх-Катавского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32B0F" w:rsidRPr="00F529FA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B0F" w:rsidRPr="004B0435" w:rsidRDefault="00B32B0F" w:rsidP="00B32B0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B32B0F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808,1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808,4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808,4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5023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23D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B32B0F" w:rsidRDefault="00B32B0F" w:rsidP="00B32B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9C" w:rsidRDefault="00A0489C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B32B0F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1B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A44957">
        <w:rPr>
          <w:rFonts w:ascii="Times New Roman" w:hAnsi="Times New Roman" w:cs="Times New Roman"/>
          <w:snapToGrid w:val="0"/>
          <w:sz w:val="28"/>
          <w:szCs w:val="28"/>
        </w:rPr>
        <w:t>Верх-Катавского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6F51B9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C1F2E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="006F51B9">
        <w:rPr>
          <w:rFonts w:ascii="Times New Roman" w:hAnsi="Times New Roman" w:cs="Times New Roman"/>
          <w:snapToGrid w:val="0"/>
          <w:sz w:val="28"/>
          <w:szCs w:val="28"/>
        </w:rPr>
        <w:t xml:space="preserve">И.Н. </w:t>
      </w:r>
      <w:proofErr w:type="spellStart"/>
      <w:r w:rsidR="006F51B9">
        <w:rPr>
          <w:rFonts w:ascii="Times New Roman" w:hAnsi="Times New Roman" w:cs="Times New Roman"/>
          <w:snapToGrid w:val="0"/>
          <w:sz w:val="28"/>
          <w:szCs w:val="28"/>
        </w:rPr>
        <w:t>Макушева</w:t>
      </w:r>
      <w:proofErr w:type="spellEnd"/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5A43DE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32B7"/>
    <w:rsid w:val="000043B9"/>
    <w:rsid w:val="000061EC"/>
    <w:rsid w:val="00011AEC"/>
    <w:rsid w:val="000121D6"/>
    <w:rsid w:val="00020750"/>
    <w:rsid w:val="000217C5"/>
    <w:rsid w:val="00024EA2"/>
    <w:rsid w:val="0002765C"/>
    <w:rsid w:val="00027EBA"/>
    <w:rsid w:val="00031520"/>
    <w:rsid w:val="00032EA3"/>
    <w:rsid w:val="00046935"/>
    <w:rsid w:val="00051692"/>
    <w:rsid w:val="000527C2"/>
    <w:rsid w:val="00053012"/>
    <w:rsid w:val="00062898"/>
    <w:rsid w:val="000677AF"/>
    <w:rsid w:val="00071694"/>
    <w:rsid w:val="00076CB9"/>
    <w:rsid w:val="0008281C"/>
    <w:rsid w:val="000871EB"/>
    <w:rsid w:val="000962AA"/>
    <w:rsid w:val="000A0B0E"/>
    <w:rsid w:val="000A3953"/>
    <w:rsid w:val="000A425B"/>
    <w:rsid w:val="000B365B"/>
    <w:rsid w:val="000B6D16"/>
    <w:rsid w:val="000D3AD8"/>
    <w:rsid w:val="000D50A0"/>
    <w:rsid w:val="000F0D92"/>
    <w:rsid w:val="000F1840"/>
    <w:rsid w:val="000F3CB1"/>
    <w:rsid w:val="000F45AA"/>
    <w:rsid w:val="001027B9"/>
    <w:rsid w:val="001201B1"/>
    <w:rsid w:val="00121A16"/>
    <w:rsid w:val="00130736"/>
    <w:rsid w:val="00130D8A"/>
    <w:rsid w:val="001337F5"/>
    <w:rsid w:val="00133D1C"/>
    <w:rsid w:val="00137156"/>
    <w:rsid w:val="0014288F"/>
    <w:rsid w:val="00142EBE"/>
    <w:rsid w:val="00146477"/>
    <w:rsid w:val="00151DB7"/>
    <w:rsid w:val="00160383"/>
    <w:rsid w:val="00160A5A"/>
    <w:rsid w:val="00175DF2"/>
    <w:rsid w:val="001831D3"/>
    <w:rsid w:val="00184E6D"/>
    <w:rsid w:val="001907C4"/>
    <w:rsid w:val="00193381"/>
    <w:rsid w:val="001A0E73"/>
    <w:rsid w:val="001A1DE1"/>
    <w:rsid w:val="001B0F6F"/>
    <w:rsid w:val="001C0B1C"/>
    <w:rsid w:val="001D37FA"/>
    <w:rsid w:val="001D6A89"/>
    <w:rsid w:val="001D7B1F"/>
    <w:rsid w:val="001E0474"/>
    <w:rsid w:val="001E2C3E"/>
    <w:rsid w:val="001E53BF"/>
    <w:rsid w:val="002064CC"/>
    <w:rsid w:val="00216C85"/>
    <w:rsid w:val="00216E16"/>
    <w:rsid w:val="00222EA0"/>
    <w:rsid w:val="00234947"/>
    <w:rsid w:val="00241C50"/>
    <w:rsid w:val="00246100"/>
    <w:rsid w:val="00250E5B"/>
    <w:rsid w:val="00253529"/>
    <w:rsid w:val="002630C3"/>
    <w:rsid w:val="0026798A"/>
    <w:rsid w:val="00276471"/>
    <w:rsid w:val="002767F0"/>
    <w:rsid w:val="00281E5D"/>
    <w:rsid w:val="002932CA"/>
    <w:rsid w:val="002973CD"/>
    <w:rsid w:val="002A0A75"/>
    <w:rsid w:val="002A661F"/>
    <w:rsid w:val="002B03FC"/>
    <w:rsid w:val="002B1286"/>
    <w:rsid w:val="002B1DB5"/>
    <w:rsid w:val="002C1F2E"/>
    <w:rsid w:val="002C28E3"/>
    <w:rsid w:val="002C5BA2"/>
    <w:rsid w:val="002D13C0"/>
    <w:rsid w:val="002D4CAB"/>
    <w:rsid w:val="002E0BCC"/>
    <w:rsid w:val="002F22B0"/>
    <w:rsid w:val="002F30CC"/>
    <w:rsid w:val="002F4A7B"/>
    <w:rsid w:val="002F5052"/>
    <w:rsid w:val="00305B35"/>
    <w:rsid w:val="00310FD4"/>
    <w:rsid w:val="00315C25"/>
    <w:rsid w:val="00316DB6"/>
    <w:rsid w:val="003257C5"/>
    <w:rsid w:val="00335E4E"/>
    <w:rsid w:val="0035057F"/>
    <w:rsid w:val="0035184C"/>
    <w:rsid w:val="0035469B"/>
    <w:rsid w:val="003564DF"/>
    <w:rsid w:val="0036049B"/>
    <w:rsid w:val="00361B8B"/>
    <w:rsid w:val="003646B3"/>
    <w:rsid w:val="00373D76"/>
    <w:rsid w:val="00382D73"/>
    <w:rsid w:val="00385844"/>
    <w:rsid w:val="00385A3E"/>
    <w:rsid w:val="003948EC"/>
    <w:rsid w:val="003B05B9"/>
    <w:rsid w:val="003B6626"/>
    <w:rsid w:val="003D1279"/>
    <w:rsid w:val="003D1714"/>
    <w:rsid w:val="003D1770"/>
    <w:rsid w:val="003D44B2"/>
    <w:rsid w:val="003E16E4"/>
    <w:rsid w:val="003E4AE2"/>
    <w:rsid w:val="003E50ED"/>
    <w:rsid w:val="003E738B"/>
    <w:rsid w:val="003F7D11"/>
    <w:rsid w:val="00400E06"/>
    <w:rsid w:val="00402DED"/>
    <w:rsid w:val="00404AA9"/>
    <w:rsid w:val="00405414"/>
    <w:rsid w:val="0041065B"/>
    <w:rsid w:val="00415FDA"/>
    <w:rsid w:val="00417A7C"/>
    <w:rsid w:val="004205D7"/>
    <w:rsid w:val="00426C0A"/>
    <w:rsid w:val="00427391"/>
    <w:rsid w:val="00430247"/>
    <w:rsid w:val="00431AFA"/>
    <w:rsid w:val="00435460"/>
    <w:rsid w:val="00435AC5"/>
    <w:rsid w:val="00445DD9"/>
    <w:rsid w:val="00450F2B"/>
    <w:rsid w:val="004546A6"/>
    <w:rsid w:val="00460AE5"/>
    <w:rsid w:val="00461ECB"/>
    <w:rsid w:val="004B164B"/>
    <w:rsid w:val="004E09BE"/>
    <w:rsid w:val="004E238B"/>
    <w:rsid w:val="004E4BBA"/>
    <w:rsid w:val="004F433A"/>
    <w:rsid w:val="004F4363"/>
    <w:rsid w:val="0050041E"/>
    <w:rsid w:val="00500443"/>
    <w:rsid w:val="00505FBB"/>
    <w:rsid w:val="005202D7"/>
    <w:rsid w:val="005226B3"/>
    <w:rsid w:val="00524489"/>
    <w:rsid w:val="00524F3A"/>
    <w:rsid w:val="00527BB6"/>
    <w:rsid w:val="00534F0B"/>
    <w:rsid w:val="00536035"/>
    <w:rsid w:val="00555C5D"/>
    <w:rsid w:val="00557765"/>
    <w:rsid w:val="00560651"/>
    <w:rsid w:val="00563BB3"/>
    <w:rsid w:val="00571F19"/>
    <w:rsid w:val="005727FE"/>
    <w:rsid w:val="00572AF7"/>
    <w:rsid w:val="00576DB7"/>
    <w:rsid w:val="00580844"/>
    <w:rsid w:val="00580BF1"/>
    <w:rsid w:val="0058135E"/>
    <w:rsid w:val="00592A73"/>
    <w:rsid w:val="0059591B"/>
    <w:rsid w:val="005A43DE"/>
    <w:rsid w:val="005A6FAF"/>
    <w:rsid w:val="005B07BD"/>
    <w:rsid w:val="005B1167"/>
    <w:rsid w:val="005B2530"/>
    <w:rsid w:val="005B31AF"/>
    <w:rsid w:val="005D17E2"/>
    <w:rsid w:val="005D2213"/>
    <w:rsid w:val="005D7F51"/>
    <w:rsid w:val="005E5471"/>
    <w:rsid w:val="005F2D56"/>
    <w:rsid w:val="00614223"/>
    <w:rsid w:val="0062071F"/>
    <w:rsid w:val="006250CD"/>
    <w:rsid w:val="006258D2"/>
    <w:rsid w:val="0063129A"/>
    <w:rsid w:val="00631BDA"/>
    <w:rsid w:val="00641F2C"/>
    <w:rsid w:val="00643C31"/>
    <w:rsid w:val="00647190"/>
    <w:rsid w:val="006566FF"/>
    <w:rsid w:val="00660127"/>
    <w:rsid w:val="00665708"/>
    <w:rsid w:val="00674F06"/>
    <w:rsid w:val="00677622"/>
    <w:rsid w:val="0068600E"/>
    <w:rsid w:val="0068632B"/>
    <w:rsid w:val="00693650"/>
    <w:rsid w:val="006963A7"/>
    <w:rsid w:val="006A73CA"/>
    <w:rsid w:val="006C24FF"/>
    <w:rsid w:val="006C7A56"/>
    <w:rsid w:val="006E391B"/>
    <w:rsid w:val="006F0CE9"/>
    <w:rsid w:val="006F51B9"/>
    <w:rsid w:val="0070061E"/>
    <w:rsid w:val="007011DF"/>
    <w:rsid w:val="00701940"/>
    <w:rsid w:val="00702C47"/>
    <w:rsid w:val="007115C2"/>
    <w:rsid w:val="0071472E"/>
    <w:rsid w:val="00714C18"/>
    <w:rsid w:val="007215E1"/>
    <w:rsid w:val="00724673"/>
    <w:rsid w:val="00724F8D"/>
    <w:rsid w:val="00732B0D"/>
    <w:rsid w:val="007379D8"/>
    <w:rsid w:val="007408AB"/>
    <w:rsid w:val="007421A0"/>
    <w:rsid w:val="007441D8"/>
    <w:rsid w:val="00745379"/>
    <w:rsid w:val="00753733"/>
    <w:rsid w:val="007677FB"/>
    <w:rsid w:val="00773144"/>
    <w:rsid w:val="007762F8"/>
    <w:rsid w:val="0078731E"/>
    <w:rsid w:val="00787EBD"/>
    <w:rsid w:val="007931F8"/>
    <w:rsid w:val="00794D24"/>
    <w:rsid w:val="007A1A97"/>
    <w:rsid w:val="007A7C99"/>
    <w:rsid w:val="007C03B6"/>
    <w:rsid w:val="007C1ACC"/>
    <w:rsid w:val="007C5FB5"/>
    <w:rsid w:val="007D16CA"/>
    <w:rsid w:val="007D4761"/>
    <w:rsid w:val="007D52C0"/>
    <w:rsid w:val="007E0662"/>
    <w:rsid w:val="007E7E43"/>
    <w:rsid w:val="007F429B"/>
    <w:rsid w:val="007F7FCB"/>
    <w:rsid w:val="0080475A"/>
    <w:rsid w:val="0081372B"/>
    <w:rsid w:val="00825BB9"/>
    <w:rsid w:val="0083162B"/>
    <w:rsid w:val="0083332E"/>
    <w:rsid w:val="008371F7"/>
    <w:rsid w:val="00866D23"/>
    <w:rsid w:val="00867857"/>
    <w:rsid w:val="00872CE7"/>
    <w:rsid w:val="00873A66"/>
    <w:rsid w:val="00875C5E"/>
    <w:rsid w:val="00876C3A"/>
    <w:rsid w:val="008847E4"/>
    <w:rsid w:val="00893750"/>
    <w:rsid w:val="00894776"/>
    <w:rsid w:val="008B3B4C"/>
    <w:rsid w:val="008C100A"/>
    <w:rsid w:val="008C33B1"/>
    <w:rsid w:val="008D50EC"/>
    <w:rsid w:val="008D7FA1"/>
    <w:rsid w:val="008E58F1"/>
    <w:rsid w:val="008F67C9"/>
    <w:rsid w:val="009017AD"/>
    <w:rsid w:val="009114C1"/>
    <w:rsid w:val="00911B7A"/>
    <w:rsid w:val="009208AF"/>
    <w:rsid w:val="009307FF"/>
    <w:rsid w:val="00931A9E"/>
    <w:rsid w:val="00934263"/>
    <w:rsid w:val="00941D7B"/>
    <w:rsid w:val="009451C6"/>
    <w:rsid w:val="00945C5F"/>
    <w:rsid w:val="00950122"/>
    <w:rsid w:val="009558F4"/>
    <w:rsid w:val="0096342A"/>
    <w:rsid w:val="00965D24"/>
    <w:rsid w:val="00967E06"/>
    <w:rsid w:val="00971915"/>
    <w:rsid w:val="009762ED"/>
    <w:rsid w:val="00981A44"/>
    <w:rsid w:val="009934D7"/>
    <w:rsid w:val="009A12C3"/>
    <w:rsid w:val="009A722E"/>
    <w:rsid w:val="009B4B3E"/>
    <w:rsid w:val="009C062D"/>
    <w:rsid w:val="009C1B8B"/>
    <w:rsid w:val="009C65DA"/>
    <w:rsid w:val="009C7DE0"/>
    <w:rsid w:val="009D4788"/>
    <w:rsid w:val="009F158D"/>
    <w:rsid w:val="009F6860"/>
    <w:rsid w:val="00A015D3"/>
    <w:rsid w:val="00A0489C"/>
    <w:rsid w:val="00A0655B"/>
    <w:rsid w:val="00A1059C"/>
    <w:rsid w:val="00A21776"/>
    <w:rsid w:val="00A25EE7"/>
    <w:rsid w:val="00A423CE"/>
    <w:rsid w:val="00A44957"/>
    <w:rsid w:val="00A45729"/>
    <w:rsid w:val="00A50642"/>
    <w:rsid w:val="00A52301"/>
    <w:rsid w:val="00A53C2C"/>
    <w:rsid w:val="00A61685"/>
    <w:rsid w:val="00A64F55"/>
    <w:rsid w:val="00A70448"/>
    <w:rsid w:val="00A715ED"/>
    <w:rsid w:val="00A769E2"/>
    <w:rsid w:val="00A900ED"/>
    <w:rsid w:val="00A95636"/>
    <w:rsid w:val="00A96434"/>
    <w:rsid w:val="00AB36C4"/>
    <w:rsid w:val="00AC4667"/>
    <w:rsid w:val="00AC4932"/>
    <w:rsid w:val="00AC71CB"/>
    <w:rsid w:val="00AC7966"/>
    <w:rsid w:val="00AC7D45"/>
    <w:rsid w:val="00AE19E3"/>
    <w:rsid w:val="00AE5936"/>
    <w:rsid w:val="00AF1ABB"/>
    <w:rsid w:val="00AF32F5"/>
    <w:rsid w:val="00AF5663"/>
    <w:rsid w:val="00B0070E"/>
    <w:rsid w:val="00B054B4"/>
    <w:rsid w:val="00B05535"/>
    <w:rsid w:val="00B05AC2"/>
    <w:rsid w:val="00B1054D"/>
    <w:rsid w:val="00B1201E"/>
    <w:rsid w:val="00B17AF7"/>
    <w:rsid w:val="00B22253"/>
    <w:rsid w:val="00B261FC"/>
    <w:rsid w:val="00B32B02"/>
    <w:rsid w:val="00B32B0F"/>
    <w:rsid w:val="00B45020"/>
    <w:rsid w:val="00B460A7"/>
    <w:rsid w:val="00B560F3"/>
    <w:rsid w:val="00B569E4"/>
    <w:rsid w:val="00B7000E"/>
    <w:rsid w:val="00B73D5E"/>
    <w:rsid w:val="00B75CE2"/>
    <w:rsid w:val="00B76971"/>
    <w:rsid w:val="00B834CB"/>
    <w:rsid w:val="00B97643"/>
    <w:rsid w:val="00BA2722"/>
    <w:rsid w:val="00BB6499"/>
    <w:rsid w:val="00BB6B5D"/>
    <w:rsid w:val="00BB6C3F"/>
    <w:rsid w:val="00BB7CA8"/>
    <w:rsid w:val="00BC6464"/>
    <w:rsid w:val="00BD6754"/>
    <w:rsid w:val="00BE0C37"/>
    <w:rsid w:val="00BE5B84"/>
    <w:rsid w:val="00BF3E95"/>
    <w:rsid w:val="00BF4D56"/>
    <w:rsid w:val="00BF7429"/>
    <w:rsid w:val="00C07B8C"/>
    <w:rsid w:val="00C13EE2"/>
    <w:rsid w:val="00C1570C"/>
    <w:rsid w:val="00C1731F"/>
    <w:rsid w:val="00C20A49"/>
    <w:rsid w:val="00C2102A"/>
    <w:rsid w:val="00C23A00"/>
    <w:rsid w:val="00C40A4C"/>
    <w:rsid w:val="00C51235"/>
    <w:rsid w:val="00C51B25"/>
    <w:rsid w:val="00C53AD4"/>
    <w:rsid w:val="00C53F43"/>
    <w:rsid w:val="00C62BFD"/>
    <w:rsid w:val="00C70598"/>
    <w:rsid w:val="00C74158"/>
    <w:rsid w:val="00C84802"/>
    <w:rsid w:val="00C86734"/>
    <w:rsid w:val="00CA047F"/>
    <w:rsid w:val="00CA0983"/>
    <w:rsid w:val="00CB0849"/>
    <w:rsid w:val="00CC469D"/>
    <w:rsid w:val="00CE1CDD"/>
    <w:rsid w:val="00CF2648"/>
    <w:rsid w:val="00D03F0D"/>
    <w:rsid w:val="00D07B3C"/>
    <w:rsid w:val="00D1623B"/>
    <w:rsid w:val="00D2551E"/>
    <w:rsid w:val="00D34FCA"/>
    <w:rsid w:val="00D36108"/>
    <w:rsid w:val="00D417A6"/>
    <w:rsid w:val="00D431F6"/>
    <w:rsid w:val="00D470F7"/>
    <w:rsid w:val="00D54A25"/>
    <w:rsid w:val="00D74E83"/>
    <w:rsid w:val="00D75F4B"/>
    <w:rsid w:val="00D82C98"/>
    <w:rsid w:val="00D91A3E"/>
    <w:rsid w:val="00D947ED"/>
    <w:rsid w:val="00D96DB3"/>
    <w:rsid w:val="00DA3D13"/>
    <w:rsid w:val="00DA5E3F"/>
    <w:rsid w:val="00DB2F73"/>
    <w:rsid w:val="00DB4460"/>
    <w:rsid w:val="00DC53FC"/>
    <w:rsid w:val="00DE0BE4"/>
    <w:rsid w:val="00DE3A01"/>
    <w:rsid w:val="00E042F5"/>
    <w:rsid w:val="00E0588C"/>
    <w:rsid w:val="00E076A0"/>
    <w:rsid w:val="00E162B5"/>
    <w:rsid w:val="00E17039"/>
    <w:rsid w:val="00E23616"/>
    <w:rsid w:val="00E33076"/>
    <w:rsid w:val="00E3695F"/>
    <w:rsid w:val="00E459F6"/>
    <w:rsid w:val="00E5023D"/>
    <w:rsid w:val="00E55D04"/>
    <w:rsid w:val="00E5602B"/>
    <w:rsid w:val="00E6200A"/>
    <w:rsid w:val="00E654C7"/>
    <w:rsid w:val="00E67356"/>
    <w:rsid w:val="00E70FDD"/>
    <w:rsid w:val="00E82EAC"/>
    <w:rsid w:val="00E85B73"/>
    <w:rsid w:val="00E932B5"/>
    <w:rsid w:val="00E97E91"/>
    <w:rsid w:val="00EA0012"/>
    <w:rsid w:val="00EA10BC"/>
    <w:rsid w:val="00EB05BF"/>
    <w:rsid w:val="00EB202A"/>
    <w:rsid w:val="00EB3C36"/>
    <w:rsid w:val="00ED4BCB"/>
    <w:rsid w:val="00F00E98"/>
    <w:rsid w:val="00F15CEA"/>
    <w:rsid w:val="00F20512"/>
    <w:rsid w:val="00F33D7A"/>
    <w:rsid w:val="00F347EE"/>
    <w:rsid w:val="00F361C7"/>
    <w:rsid w:val="00F40FD5"/>
    <w:rsid w:val="00F51101"/>
    <w:rsid w:val="00F6415C"/>
    <w:rsid w:val="00F728B9"/>
    <w:rsid w:val="00F92835"/>
    <w:rsid w:val="00F92918"/>
    <w:rsid w:val="00FA49B0"/>
    <w:rsid w:val="00FA5886"/>
    <w:rsid w:val="00FC707F"/>
    <w:rsid w:val="00FD1D97"/>
    <w:rsid w:val="00FD7C3A"/>
    <w:rsid w:val="00FE2D4B"/>
    <w:rsid w:val="00FE52CE"/>
    <w:rsid w:val="00FF7BED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B32B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32B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B1E59-034D-488F-8BF2-1F5AB563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2034</TotalTime>
  <Pages>5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budgetnik9</cp:lastModifiedBy>
  <cp:revision>362</cp:revision>
  <cp:lastPrinted>2019-12-26T06:32:00Z</cp:lastPrinted>
  <dcterms:created xsi:type="dcterms:W3CDTF">2010-11-03T08:52:00Z</dcterms:created>
  <dcterms:modified xsi:type="dcterms:W3CDTF">2019-12-26T06:33:00Z</dcterms:modified>
</cp:coreProperties>
</file>